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CEE" w:rsidRPr="002F4A8C" w:rsidRDefault="002F4A8C">
      <w:pPr>
        <w:rPr>
          <w:b/>
          <w:sz w:val="28"/>
          <w:szCs w:val="28"/>
        </w:rPr>
      </w:pPr>
      <w:r w:rsidRPr="002F4A8C">
        <w:rPr>
          <w:b/>
          <w:sz w:val="28"/>
          <w:szCs w:val="28"/>
        </w:rPr>
        <w:t>Feed the Future indicators</w:t>
      </w:r>
    </w:p>
    <w:p w:rsidR="002F4A8C" w:rsidRDefault="002F4A8C"/>
    <w:p w:rsidR="002F4A8C" w:rsidRDefault="002F4A8C">
      <w:r>
        <w:t>USAID provided Africa RISING with nine (9) indicators from a longer list of Fed the Future indicators (see below).</w:t>
      </w:r>
    </w:p>
    <w:p w:rsidR="002F4A8C" w:rsidRDefault="002F4A8C">
      <w:r>
        <w:t>We had to provide numeric targets and the disaggregation for year 1 activities by mid August.</w:t>
      </w:r>
    </w:p>
    <w:p w:rsidR="002F4A8C" w:rsidRDefault="002F4A8C">
      <w:r>
        <w:t>Implementing partners in WA and ESA</w:t>
      </w:r>
      <w:r w:rsidR="00A3300A">
        <w:t xml:space="preserve"> in addition to saying that it was too early to report achievements, they </w:t>
      </w:r>
      <w:r>
        <w:t>found it very difficult to use these indicators. They were considered not appropriate for research activities. Targets that were provided were therefore not always realistic. Some partners ignored the request.</w:t>
      </w:r>
    </w:p>
    <w:p w:rsidR="002F4A8C" w:rsidRDefault="002F4A8C">
      <w:r>
        <w:t>When we had to report to USAID the real achieved numbers and the disaggregation in October partners again expressed their discomfort with the indicators. There were big discrepancies between targets and actual achievements</w:t>
      </w:r>
      <w:r w:rsidR="00A3300A">
        <w:t xml:space="preserve"> which could then be not always explained satisfactorily.</w:t>
      </w:r>
      <w:r>
        <w:t xml:space="preserve"> </w:t>
      </w:r>
    </w:p>
    <w:p w:rsidR="00A3300A" w:rsidRDefault="00A3300A">
      <w:r>
        <w:t xml:space="preserve">During the research framework workshop in July, Stan Wood (IFPRI) mentioned that he was working with USAID on indicators specifically for Africa RISING.  At the M&amp;E workshop in September in Addis, we also discussed indicators but did not finalize the discussion. </w:t>
      </w:r>
    </w:p>
    <w:p w:rsidR="00A3300A" w:rsidRDefault="00A3300A">
      <w:r>
        <w:t>Therefore, in October, when targets for years 2013 and 2014 were requested by USAID we found ourselves in the same situation as before with partners not knowing how to handle the 9 indicators.</w:t>
      </w:r>
    </w:p>
    <w:p w:rsidR="00A3300A" w:rsidRDefault="00A3300A"/>
    <w:p w:rsidR="00A3300A" w:rsidRDefault="00A3300A">
      <w:r>
        <w:t xml:space="preserve">The purpose of this agenda item is to learn whether there are revised and more research related indicators available for reporting next October. </w:t>
      </w:r>
    </w:p>
    <w:p w:rsidR="00656EC8" w:rsidRDefault="00656EC8">
      <w:r>
        <w:br w:type="page"/>
      </w:r>
    </w:p>
    <w:p w:rsidR="00774117" w:rsidRDefault="00774117">
      <w:pPr>
        <w:sectPr w:rsidR="00774117" w:rsidSect="00774117">
          <w:pgSz w:w="12240" w:h="15840"/>
          <w:pgMar w:top="630" w:right="1440" w:bottom="1080" w:left="1440" w:header="720" w:footer="720" w:gutter="0"/>
          <w:cols w:space="720"/>
          <w:docGrid w:linePitch="360"/>
        </w:sectPr>
      </w:pPr>
    </w:p>
    <w:p w:rsidR="00774117" w:rsidRDefault="00774117"/>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477"/>
        <w:gridCol w:w="718"/>
        <w:gridCol w:w="542"/>
        <w:gridCol w:w="990"/>
        <w:gridCol w:w="898"/>
        <w:gridCol w:w="901"/>
        <w:gridCol w:w="1169"/>
        <w:gridCol w:w="1439"/>
        <w:gridCol w:w="815"/>
        <w:gridCol w:w="1077"/>
        <w:gridCol w:w="1080"/>
        <w:gridCol w:w="1258"/>
        <w:gridCol w:w="990"/>
        <w:gridCol w:w="1169"/>
        <w:gridCol w:w="1347"/>
      </w:tblGrid>
      <w:tr w:rsidR="00774117" w:rsidRPr="00CD359C" w:rsidTr="00292BD8">
        <w:trPr>
          <w:trHeight w:val="1845"/>
          <w:tblHeader/>
        </w:trPr>
        <w:tc>
          <w:tcPr>
            <w:tcW w:w="160" w:type="pct"/>
            <w:shd w:val="clear" w:color="auto" w:fill="auto"/>
            <w:textDirection w:val="btLr"/>
            <w:vAlign w:val="center"/>
            <w:hideMark/>
          </w:tcPr>
          <w:p w:rsidR="008F1291" w:rsidRPr="008F1291" w:rsidRDefault="008F1291" w:rsidP="008F1291">
            <w:pPr>
              <w:spacing w:after="0" w:line="240" w:lineRule="auto"/>
              <w:jc w:val="center"/>
              <w:rPr>
                <w:rFonts w:ascii="Cambria" w:eastAsia="Times New Roman" w:hAnsi="Cambria" w:cs="Times New Roman"/>
                <w:b/>
                <w:bCs/>
                <w:color w:val="808080"/>
                <w:sz w:val="16"/>
                <w:szCs w:val="16"/>
              </w:rPr>
            </w:pPr>
            <w:r w:rsidRPr="008F1291">
              <w:rPr>
                <w:rFonts w:ascii="Cambria" w:eastAsia="Times New Roman" w:hAnsi="Cambria" w:cs="Times New Roman"/>
                <w:b/>
                <w:bCs/>
                <w:color w:val="808080"/>
                <w:sz w:val="16"/>
                <w:szCs w:val="16"/>
              </w:rPr>
              <w:t>Order</w:t>
            </w:r>
          </w:p>
        </w:tc>
        <w:tc>
          <w:tcPr>
            <w:tcW w:w="241"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RF Level</w:t>
            </w:r>
          </w:p>
        </w:tc>
        <w:tc>
          <w:tcPr>
            <w:tcW w:w="182"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RF#</w:t>
            </w:r>
          </w:p>
        </w:tc>
        <w:tc>
          <w:tcPr>
            <w:tcW w:w="33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TITLE in FTF Results Framework (RF)</w:t>
            </w:r>
          </w:p>
        </w:tc>
        <w:tc>
          <w:tcPr>
            <w:tcW w:w="302"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 xml:space="preserve">SPS Location </w:t>
            </w:r>
          </w:p>
        </w:tc>
        <w:tc>
          <w:tcPr>
            <w:tcW w:w="30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ID number under SPS location</w:t>
            </w:r>
          </w:p>
        </w:tc>
        <w:tc>
          <w:tcPr>
            <w:tcW w:w="39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Indicator Title</w:t>
            </w:r>
          </w:p>
        </w:tc>
        <w:tc>
          <w:tcPr>
            <w:tcW w:w="484"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 xml:space="preserve">R - required/mandatory RiA - required if applicable S - Standard </w:t>
            </w:r>
          </w:p>
        </w:tc>
        <w:tc>
          <w:tcPr>
            <w:tcW w:w="274"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Whole of Gov (WOG)</w:t>
            </w:r>
          </w:p>
        </w:tc>
        <w:tc>
          <w:tcPr>
            <w:tcW w:w="362"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Level of Collection</w:t>
            </w:r>
          </w:p>
        </w:tc>
        <w:tc>
          <w:tcPr>
            <w:tcW w:w="36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Who collects?</w:t>
            </w:r>
          </w:p>
        </w:tc>
        <w:tc>
          <w:tcPr>
            <w:tcW w:w="42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Frequency of collection?</w:t>
            </w:r>
          </w:p>
        </w:tc>
        <w:tc>
          <w:tcPr>
            <w:tcW w:w="33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Indicator Type</w:t>
            </w:r>
          </w:p>
        </w:tc>
        <w:tc>
          <w:tcPr>
            <w:tcW w:w="39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2011/2012 Targets (if more than one data point)</w:t>
            </w:r>
          </w:p>
        </w:tc>
        <w:tc>
          <w:tcPr>
            <w:tcW w:w="453" w:type="pct"/>
            <w:shd w:val="clear" w:color="000000" w:fill="339966"/>
            <w:vAlign w:val="center"/>
            <w:hideMark/>
          </w:tcPr>
          <w:p w:rsidR="008F1291" w:rsidRPr="008F1291" w:rsidRDefault="008F1291" w:rsidP="008F1291">
            <w:pPr>
              <w:spacing w:after="0" w:line="240" w:lineRule="auto"/>
              <w:jc w:val="center"/>
              <w:rPr>
                <w:rFonts w:ascii="Cambria" w:eastAsia="Times New Roman" w:hAnsi="Cambria" w:cs="Times New Roman"/>
                <w:b/>
                <w:bCs/>
                <w:color w:val="000000"/>
                <w:sz w:val="16"/>
                <w:szCs w:val="16"/>
              </w:rPr>
            </w:pPr>
            <w:r w:rsidRPr="008F1291">
              <w:rPr>
                <w:rFonts w:ascii="Cambria" w:eastAsia="Times New Roman" w:hAnsi="Cambria" w:cs="Times New Roman"/>
                <w:b/>
                <w:bCs/>
                <w:color w:val="000000"/>
                <w:sz w:val="16"/>
                <w:szCs w:val="16"/>
              </w:rPr>
              <w:t>Disaggregation</w:t>
            </w:r>
          </w:p>
        </w:tc>
      </w:tr>
      <w:tr w:rsidR="00774117" w:rsidRPr="00CD359C" w:rsidTr="00292BD8">
        <w:trPr>
          <w:trHeight w:val="1500"/>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t>12</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Enhanced human and institutional capacity development for increased agricultural sector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5</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 of farmers and others who have applied new technologies or management practices as a result of USG assistance</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RiA</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WOG</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beneficiaries with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outcome</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30</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Duration: New, Continuing Sex: Male, Female</w:t>
            </w:r>
          </w:p>
        </w:tc>
      </w:tr>
      <w:tr w:rsidR="00774117" w:rsidRPr="00CD359C" w:rsidTr="00292BD8">
        <w:trPr>
          <w:trHeight w:val="1530"/>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t>13</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Enhanced human and institutional capacity development for increased agricultural sector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6</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 of individuals who have received USG supported long-term agricultural sector productivity or food security training</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beneficiaries with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output</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Sex: Male, Female</w:t>
            </w:r>
          </w:p>
        </w:tc>
      </w:tr>
      <w:tr w:rsidR="00774117" w:rsidRPr="00CD359C" w:rsidTr="00292BD8">
        <w:trPr>
          <w:trHeight w:val="1410"/>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t>14</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Enhanced human and institutional capacity development for increased agricultural sector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7</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 of individuals who have received USG supported short-term agricultural sector productivity or food security training</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RiA</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WOG</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beneficiaries with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output</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xml:space="preserve">Type of individual: Producers, People in government, People in private sector firms, People in civil society </w:t>
            </w:r>
            <w:r w:rsidRPr="008F1291">
              <w:rPr>
                <w:rFonts w:ascii="Cambria" w:eastAsia="Times New Roman" w:hAnsi="Cambria" w:cs="Times New Roman"/>
                <w:color w:val="000000"/>
                <w:sz w:val="16"/>
                <w:szCs w:val="16"/>
              </w:rPr>
              <w:br/>
              <w:t xml:space="preserve">Sex: Male, Female                                            </w:t>
            </w:r>
          </w:p>
        </w:tc>
      </w:tr>
      <w:tr w:rsidR="00774117" w:rsidRPr="00CD359C" w:rsidTr="00292BD8">
        <w:trPr>
          <w:trHeight w:val="1530"/>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t>15</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xml:space="preserve">Enhanced human and institutional capacity development for increased </w:t>
            </w:r>
            <w:r w:rsidRPr="008F1291">
              <w:rPr>
                <w:rFonts w:ascii="Cambria" w:eastAsia="Times New Roman" w:hAnsi="Cambria" w:cs="Times New Roman"/>
                <w:color w:val="000000"/>
                <w:sz w:val="16"/>
                <w:szCs w:val="16"/>
              </w:rPr>
              <w:lastRenderedPageBreak/>
              <w:t>agricultural sector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lastRenderedPageBreak/>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xml:space="preserve">Number of food security private enterprises (for profit), producers organizations, water users </w:t>
            </w:r>
            <w:r w:rsidRPr="008F1291">
              <w:rPr>
                <w:rFonts w:ascii="Cambria" w:eastAsia="Times New Roman" w:hAnsi="Cambria" w:cs="Times New Roman"/>
                <w:color w:val="000000"/>
                <w:sz w:val="16"/>
                <w:szCs w:val="16"/>
              </w:rPr>
              <w:lastRenderedPageBreak/>
              <w:t>associations, women's groups, trade and business associations, and community-based organizations (CBOs) receiving USG assistance</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lastRenderedPageBreak/>
              <w:t>RiA</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WOG</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organizations with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output</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Type of organization (see indicator title for principal types)</w:t>
            </w:r>
            <w:r w:rsidRPr="008F1291">
              <w:rPr>
                <w:rFonts w:ascii="Cambria" w:eastAsia="Times New Roman" w:hAnsi="Cambria" w:cs="Times New Roman"/>
                <w:color w:val="000000"/>
                <w:sz w:val="16"/>
                <w:szCs w:val="16"/>
              </w:rPr>
              <w:br/>
              <w:t>Duration: New, Continuing</w:t>
            </w:r>
          </w:p>
        </w:tc>
      </w:tr>
      <w:tr w:rsidR="00774117" w:rsidRPr="00CD359C" w:rsidTr="00292BD8">
        <w:trPr>
          <w:trHeight w:val="1635"/>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lastRenderedPageBreak/>
              <w:t>16</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Enhanced human and institutional capacity development for increased agricultural sector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27</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 of members of producer organizations and community based organizations receiving USG assistance</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beneficiaries with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output</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Type of organization: Producer organization, Non-producer-organization CBO</w:t>
            </w:r>
            <w:r w:rsidRPr="008F1291">
              <w:rPr>
                <w:rFonts w:ascii="Cambria" w:eastAsia="Times New Roman" w:hAnsi="Cambria" w:cs="Times New Roman"/>
                <w:color w:val="000000"/>
                <w:sz w:val="16"/>
                <w:szCs w:val="16"/>
              </w:rPr>
              <w:br/>
              <w:t>Sex: Male, Female</w:t>
            </w:r>
          </w:p>
        </w:tc>
      </w:tr>
      <w:tr w:rsidR="00774117" w:rsidRPr="00CD359C" w:rsidTr="00292BD8">
        <w:trPr>
          <w:trHeight w:val="1485"/>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t>17</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1.1</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Enhanced human and institutional capacity development for increased agricultural sector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28</w:t>
            </w:r>
          </w:p>
        </w:tc>
        <w:tc>
          <w:tcPr>
            <w:tcW w:w="393" w:type="pct"/>
            <w:shd w:val="clear" w:color="000000" w:fill="FFFFFF"/>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xml:space="preserve">Number of private enterprises (for profit), producers organizations, water users associations, women's groups, trade and business associations, and community-based organizations (CBOs) that applied new technologies or management </w:t>
            </w:r>
            <w:r w:rsidRPr="008F1291">
              <w:rPr>
                <w:rFonts w:ascii="Cambria" w:eastAsia="Times New Roman" w:hAnsi="Cambria" w:cs="Times New Roman"/>
                <w:color w:val="000000"/>
                <w:sz w:val="16"/>
                <w:szCs w:val="16"/>
              </w:rPr>
              <w:lastRenderedPageBreak/>
              <w:t>practices as a result of  USG assistance</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lastRenderedPageBreak/>
              <w:t>RiA</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WOG</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organizaitons with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outcome</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Type of organization (see indicator title for principal types)</w:t>
            </w:r>
            <w:r w:rsidRPr="008F1291">
              <w:rPr>
                <w:rFonts w:ascii="Cambria" w:eastAsia="Times New Roman" w:hAnsi="Cambria" w:cs="Times New Roman"/>
                <w:color w:val="000000"/>
                <w:sz w:val="16"/>
                <w:szCs w:val="16"/>
              </w:rPr>
              <w:br/>
              <w:t>Duration: New, Continuing</w:t>
            </w:r>
          </w:p>
        </w:tc>
      </w:tr>
      <w:tr w:rsidR="00774117" w:rsidRPr="00CD359C" w:rsidTr="00292BD8">
        <w:trPr>
          <w:trHeight w:val="2070"/>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lastRenderedPageBreak/>
              <w:t>22</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1.2</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Enhanced Technology Development, Dissemination, Management and Innovation</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39</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 of new technologies or management practices in one of the following phases of development:</w:t>
            </w:r>
            <w:r w:rsidRPr="008F1291">
              <w:rPr>
                <w:rFonts w:ascii="Cambria" w:eastAsia="Times New Roman" w:hAnsi="Cambria" w:cs="Times New Roman"/>
                <w:color w:val="000000"/>
                <w:sz w:val="16"/>
                <w:szCs w:val="16"/>
              </w:rPr>
              <w:br/>
              <w:t>…in Phase I: under research as a result of USG assistance</w:t>
            </w:r>
            <w:r w:rsidRPr="008F1291">
              <w:rPr>
                <w:rFonts w:ascii="Cambria" w:eastAsia="Times New Roman" w:hAnsi="Cambria" w:cs="Times New Roman"/>
                <w:color w:val="000000"/>
                <w:sz w:val="16"/>
                <w:szCs w:val="16"/>
              </w:rPr>
              <w:br/>
              <w:t>…in Phase II: under field testing as a result of USG assistance</w:t>
            </w:r>
            <w:r w:rsidRPr="008F1291">
              <w:rPr>
                <w:rFonts w:ascii="Cambria" w:eastAsia="Times New Roman" w:hAnsi="Cambria" w:cs="Times New Roman"/>
                <w:color w:val="000000"/>
                <w:sz w:val="16"/>
                <w:szCs w:val="16"/>
              </w:rPr>
              <w:br/>
              <w:t>…in Phase III: made available for transfer as a result of USG assistance</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technologies/practices under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output</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r>
      <w:tr w:rsidR="00774117" w:rsidRPr="00CD359C" w:rsidTr="00292BD8">
        <w:trPr>
          <w:trHeight w:val="4976"/>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lastRenderedPageBreak/>
              <w:t>26</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Sub 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1.3</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Improved Agricultural Policy Environment (increase productivity)</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4.5.1</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24</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Numbers of Policies/Regulations/Administrative Procedures in each of the following stages of development as a result of USG assistance in each case:</w:t>
            </w:r>
            <w:r w:rsidRPr="008F1291">
              <w:rPr>
                <w:rFonts w:ascii="Cambria" w:eastAsia="Times New Roman" w:hAnsi="Cambria" w:cs="Times New Roman"/>
                <w:color w:val="000000"/>
                <w:sz w:val="16"/>
                <w:szCs w:val="16"/>
              </w:rPr>
              <w:br/>
              <w:t>Stage 1: Analyzed</w:t>
            </w:r>
            <w:r w:rsidRPr="008F1291">
              <w:rPr>
                <w:rFonts w:ascii="Cambria" w:eastAsia="Times New Roman" w:hAnsi="Cambria" w:cs="Times New Roman"/>
                <w:color w:val="000000"/>
                <w:sz w:val="16"/>
                <w:szCs w:val="16"/>
              </w:rPr>
              <w:br/>
              <w:t>Stage 2: Drafted and presented for public/stakeholder consultation</w:t>
            </w:r>
            <w:r w:rsidRPr="008F1291">
              <w:rPr>
                <w:rFonts w:ascii="Cambria" w:eastAsia="Times New Roman" w:hAnsi="Cambria" w:cs="Times New Roman"/>
                <w:color w:val="000000"/>
                <w:sz w:val="16"/>
                <w:szCs w:val="16"/>
              </w:rPr>
              <w:br/>
              <w:t>Stage 3: Presented for legislation/decree</w:t>
            </w:r>
            <w:r w:rsidRPr="008F1291">
              <w:rPr>
                <w:rFonts w:ascii="Cambria" w:eastAsia="Times New Roman" w:hAnsi="Cambria" w:cs="Times New Roman"/>
                <w:color w:val="000000"/>
                <w:sz w:val="16"/>
                <w:szCs w:val="16"/>
              </w:rPr>
              <w:br/>
              <w:t>Stage 4: Passed/approved</w:t>
            </w:r>
            <w:r w:rsidRPr="008F1291">
              <w:rPr>
                <w:rFonts w:ascii="Cambria" w:eastAsia="Times New Roman" w:hAnsi="Cambria" w:cs="Times New Roman"/>
                <w:color w:val="000000"/>
                <w:sz w:val="16"/>
                <w:szCs w:val="16"/>
              </w:rPr>
              <w:br/>
              <w:t>Stage 5: Passed for which implementation has begun</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targeted policies under USG assistance</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stages 1&amp;2: output                         stages 3,4, &amp; 5: outcome</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Sector:</w:t>
            </w:r>
            <w:r w:rsidRPr="008F1291">
              <w:rPr>
                <w:rFonts w:ascii="Cambria" w:eastAsia="Times New Roman" w:hAnsi="Cambria" w:cs="Times New Roman"/>
                <w:color w:val="000000"/>
                <w:sz w:val="16"/>
                <w:szCs w:val="16"/>
              </w:rPr>
              <w:br/>
              <w:t>• Inputs (e.g. seed, fertilizer)</w:t>
            </w:r>
            <w:r w:rsidRPr="008F1291">
              <w:rPr>
                <w:rFonts w:ascii="Cambria" w:eastAsia="Times New Roman" w:hAnsi="Cambria" w:cs="Times New Roman"/>
                <w:color w:val="000000"/>
                <w:sz w:val="16"/>
                <w:szCs w:val="16"/>
              </w:rPr>
              <w:br/>
              <w:t>• Outputs (e.g. rice, maize)</w:t>
            </w:r>
            <w:r w:rsidRPr="008F1291">
              <w:rPr>
                <w:rFonts w:ascii="Cambria" w:eastAsia="Times New Roman" w:hAnsi="Cambria" w:cs="Times New Roman"/>
                <w:color w:val="000000"/>
                <w:sz w:val="16"/>
                <w:szCs w:val="16"/>
              </w:rPr>
              <w:br/>
              <w:t>• Macroeconomic (e.g. exchange rate)</w:t>
            </w:r>
            <w:r w:rsidRPr="008F1291">
              <w:rPr>
                <w:rFonts w:ascii="Cambria" w:eastAsia="Times New Roman" w:hAnsi="Cambria" w:cs="Times New Roman"/>
                <w:color w:val="000000"/>
                <w:sz w:val="16"/>
                <w:szCs w:val="16"/>
              </w:rPr>
              <w:br/>
              <w:t>• Agricultural sector-wide (e.g. wage rate for ag labor)</w:t>
            </w:r>
            <w:r w:rsidRPr="008F1291">
              <w:rPr>
                <w:rFonts w:ascii="Cambria" w:eastAsia="Times New Roman" w:hAnsi="Cambria" w:cs="Times New Roman"/>
                <w:color w:val="000000"/>
                <w:sz w:val="16"/>
                <w:szCs w:val="16"/>
              </w:rPr>
              <w:br/>
              <w:t>• Research, extension, information, and other public service</w:t>
            </w:r>
            <w:r w:rsidRPr="008F1291">
              <w:rPr>
                <w:rFonts w:ascii="Cambria" w:eastAsia="Times New Roman" w:hAnsi="Cambria" w:cs="Times New Roman"/>
                <w:color w:val="000000"/>
                <w:sz w:val="16"/>
                <w:szCs w:val="16"/>
              </w:rPr>
              <w:br/>
              <w:t>• Food security/vulnerable (e.g. safety net)</w:t>
            </w:r>
            <w:r w:rsidRPr="008F1291">
              <w:rPr>
                <w:rFonts w:ascii="Cambria" w:eastAsia="Times New Roman" w:hAnsi="Cambria" w:cs="Times New Roman"/>
                <w:color w:val="000000"/>
                <w:sz w:val="16"/>
                <w:szCs w:val="16"/>
              </w:rPr>
              <w:br/>
              <w:t>• Climate change adaptation or natural resource management (NRM) (ag-related)</w:t>
            </w:r>
            <w:r w:rsidRPr="008F1291">
              <w:rPr>
                <w:rFonts w:ascii="Cambria" w:eastAsia="Times New Roman" w:hAnsi="Cambria" w:cs="Times New Roman"/>
                <w:color w:val="000000"/>
                <w:sz w:val="16"/>
                <w:szCs w:val="16"/>
              </w:rPr>
              <w:br/>
              <w:t>Stage</w:t>
            </w:r>
            <w:r w:rsidRPr="008F1291">
              <w:rPr>
                <w:rFonts w:ascii="Cambria" w:eastAsia="Times New Roman" w:hAnsi="Cambria" w:cs="Times New Roman"/>
                <w:color w:val="000000"/>
                <w:sz w:val="16"/>
                <w:szCs w:val="16"/>
              </w:rPr>
              <w:br/>
              <w:t xml:space="preserve">1: Analyzed </w:t>
            </w:r>
            <w:r w:rsidRPr="008F1291">
              <w:rPr>
                <w:rFonts w:ascii="Cambria" w:eastAsia="Times New Roman" w:hAnsi="Cambria" w:cs="Times New Roman"/>
                <w:color w:val="000000"/>
                <w:sz w:val="16"/>
                <w:szCs w:val="16"/>
              </w:rPr>
              <w:br/>
              <w:t xml:space="preserve">2: Drafted and presented for public/stakeholder consultation </w:t>
            </w:r>
            <w:r w:rsidRPr="008F1291">
              <w:rPr>
                <w:rFonts w:ascii="Cambria" w:eastAsia="Times New Roman" w:hAnsi="Cambria" w:cs="Times New Roman"/>
                <w:color w:val="000000"/>
                <w:sz w:val="16"/>
                <w:szCs w:val="16"/>
              </w:rPr>
              <w:br/>
              <w:t xml:space="preserve">3: Presented for legislation/decree </w:t>
            </w:r>
            <w:r w:rsidRPr="008F1291">
              <w:rPr>
                <w:rFonts w:ascii="Cambria" w:eastAsia="Times New Roman" w:hAnsi="Cambria" w:cs="Times New Roman"/>
                <w:color w:val="000000"/>
                <w:sz w:val="16"/>
                <w:szCs w:val="16"/>
              </w:rPr>
              <w:br/>
              <w:t xml:space="preserve">4: Passed/approved </w:t>
            </w:r>
            <w:r w:rsidRPr="008F1291">
              <w:rPr>
                <w:rFonts w:ascii="Cambria" w:eastAsia="Times New Roman" w:hAnsi="Cambria" w:cs="Times New Roman"/>
                <w:color w:val="000000"/>
                <w:sz w:val="16"/>
                <w:szCs w:val="16"/>
              </w:rPr>
              <w:br/>
              <w:t xml:space="preserve">5: Passed for which implementation has begun </w:t>
            </w:r>
          </w:p>
        </w:tc>
      </w:tr>
      <w:tr w:rsidR="00774117" w:rsidRPr="00CD359C" w:rsidTr="00292BD8">
        <w:trPr>
          <w:trHeight w:val="1380"/>
        </w:trPr>
        <w:tc>
          <w:tcPr>
            <w:tcW w:w="160"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808080"/>
                <w:sz w:val="16"/>
                <w:szCs w:val="16"/>
              </w:rPr>
            </w:pPr>
            <w:r w:rsidRPr="008F1291">
              <w:rPr>
                <w:rFonts w:ascii="Cambria" w:eastAsia="Times New Roman" w:hAnsi="Cambria" w:cs="Times New Roman"/>
                <w:color w:val="808080"/>
                <w:sz w:val="16"/>
                <w:szCs w:val="16"/>
              </w:rPr>
              <w:lastRenderedPageBreak/>
              <w:t>39</w:t>
            </w:r>
          </w:p>
        </w:tc>
        <w:tc>
          <w:tcPr>
            <w:tcW w:w="241"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IR</w:t>
            </w:r>
          </w:p>
        </w:tc>
        <w:tc>
          <w:tcPr>
            <w:tcW w:w="18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3</w:t>
            </w:r>
          </w:p>
        </w:tc>
        <w:tc>
          <w:tcPr>
            <w:tcW w:w="33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Increased Investment in Agriculture and Nutrition-related Activities</w:t>
            </w:r>
          </w:p>
        </w:tc>
        <w:tc>
          <w:tcPr>
            <w:tcW w:w="302"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4.5.2</w:t>
            </w:r>
          </w:p>
        </w:tc>
        <w:tc>
          <w:tcPr>
            <w:tcW w:w="30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12</w:t>
            </w:r>
          </w:p>
        </w:tc>
        <w:tc>
          <w:tcPr>
            <w:tcW w:w="39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Number of public-private partnerships formed as a result of FTF assistance</w:t>
            </w:r>
          </w:p>
        </w:tc>
        <w:tc>
          <w:tcPr>
            <w:tcW w:w="48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S</w:t>
            </w:r>
          </w:p>
        </w:tc>
        <w:tc>
          <w:tcPr>
            <w:tcW w:w="274"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362"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Project-level; attributable to USG investment</w:t>
            </w:r>
          </w:p>
        </w:tc>
        <w:tc>
          <w:tcPr>
            <w:tcW w:w="36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Implementing Partners</w:t>
            </w:r>
          </w:p>
        </w:tc>
        <w:tc>
          <w:tcPr>
            <w:tcW w:w="42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annually</w:t>
            </w:r>
          </w:p>
        </w:tc>
        <w:tc>
          <w:tcPr>
            <w:tcW w:w="33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output</w:t>
            </w:r>
          </w:p>
        </w:tc>
        <w:tc>
          <w:tcPr>
            <w:tcW w:w="393" w:type="pct"/>
            <w:shd w:val="clear" w:color="auto" w:fill="auto"/>
            <w:vAlign w:val="center"/>
            <w:hideMark/>
          </w:tcPr>
          <w:p w:rsidR="008F1291" w:rsidRPr="008F1291" w:rsidRDefault="008F1291" w:rsidP="008F1291">
            <w:pPr>
              <w:spacing w:after="0" w:line="240" w:lineRule="auto"/>
              <w:jc w:val="center"/>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 </w:t>
            </w:r>
          </w:p>
        </w:tc>
        <w:tc>
          <w:tcPr>
            <w:tcW w:w="453" w:type="pct"/>
            <w:shd w:val="clear" w:color="auto" w:fill="auto"/>
            <w:vAlign w:val="center"/>
            <w:hideMark/>
          </w:tcPr>
          <w:p w:rsidR="008F1291" w:rsidRPr="008F1291" w:rsidRDefault="008F1291" w:rsidP="008F1291">
            <w:pPr>
              <w:spacing w:after="0" w:line="240" w:lineRule="auto"/>
              <w:rPr>
                <w:rFonts w:ascii="Cambria" w:eastAsia="Times New Roman" w:hAnsi="Cambria" w:cs="Times New Roman"/>
                <w:color w:val="000000"/>
                <w:sz w:val="16"/>
                <w:szCs w:val="16"/>
              </w:rPr>
            </w:pPr>
            <w:r w:rsidRPr="008F1291">
              <w:rPr>
                <w:rFonts w:ascii="Cambria" w:eastAsia="Times New Roman" w:hAnsi="Cambria" w:cs="Times New Roman"/>
                <w:color w:val="000000"/>
                <w:sz w:val="16"/>
                <w:szCs w:val="16"/>
              </w:rPr>
              <w:t>Partnership Focus: Agriculture production, Agriculture post-harvest transformation, Nutrition, Muliti-focus, Other</w:t>
            </w:r>
          </w:p>
        </w:tc>
      </w:tr>
    </w:tbl>
    <w:p w:rsidR="00A3300A" w:rsidRDefault="00A3300A" w:rsidP="00215D7C">
      <w:pPr>
        <w:ind w:left="-180"/>
      </w:pPr>
    </w:p>
    <w:sectPr w:rsidR="00A3300A" w:rsidSect="00CD359C">
      <w:pgSz w:w="15840" w:h="12240" w:orient="landscape"/>
      <w:pgMar w:top="810" w:right="1080" w:bottom="720"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2F4A8C"/>
    <w:rsid w:val="0001505E"/>
    <w:rsid w:val="00143924"/>
    <w:rsid w:val="00215D7C"/>
    <w:rsid w:val="00292BD8"/>
    <w:rsid w:val="002F4A8C"/>
    <w:rsid w:val="00656EC8"/>
    <w:rsid w:val="006F3A17"/>
    <w:rsid w:val="00774117"/>
    <w:rsid w:val="008F1291"/>
    <w:rsid w:val="00A3300A"/>
    <w:rsid w:val="00CD359C"/>
    <w:rsid w:val="00E36A54"/>
    <w:rsid w:val="00FD1C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0237786">
      <w:bodyDiv w:val="1"/>
      <w:marLeft w:val="0"/>
      <w:marRight w:val="0"/>
      <w:marTop w:val="0"/>
      <w:marBottom w:val="0"/>
      <w:divBdr>
        <w:top w:val="none" w:sz="0" w:space="0" w:color="auto"/>
        <w:left w:val="none" w:sz="0" w:space="0" w:color="auto"/>
        <w:bottom w:val="none" w:sz="0" w:space="0" w:color="auto"/>
        <w:right w:val="none" w:sz="0" w:space="0" w:color="auto"/>
      </w:divBdr>
    </w:div>
    <w:div w:id="180828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73B57-4FCD-494B-9AC9-3D0BA5137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989</Words>
  <Characters>5642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izeledon</dc:creator>
  <cp:lastModifiedBy>oorowale</cp:lastModifiedBy>
  <cp:revision>3</cp:revision>
  <dcterms:created xsi:type="dcterms:W3CDTF">2013-01-18T09:28:00Z</dcterms:created>
  <dcterms:modified xsi:type="dcterms:W3CDTF">2013-01-18T09:31:00Z</dcterms:modified>
</cp:coreProperties>
</file>